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 ПРОВЕДЕНИИ ОБЩЕГО СОБРАНИЯ УЧАСТНИКОВ ДОЛЕВОЙ СОБСТВЕННОСТИ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_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/>
      </w:pPr>
      <w:r>
        <w:rPr>
          <w:color w:val="000000"/>
        </w:rPr>
        <w:t xml:space="preserve">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iCs/>
          <w:color w:val="000000"/>
        </w:rPr>
        <w:t xml:space="preserve">23:36:0802000:864 общей площадью </w:t>
      </w:r>
      <w:r>
        <w:rPr>
          <w:bCs/>
          <w:iCs/>
          <w:color w:val="000000"/>
        </w:rPr>
        <w:t xml:space="preserve">718076</w:t>
      </w:r>
      <w:r>
        <w:rPr>
          <w:bCs/>
          <w:iCs/>
          <w:color w:val="000000"/>
        </w:rPr>
        <w:t xml:space="preserve"> кв.м. с почтовым адресным ориентиром (местоположение): Краснодарский край, Щербиновский район, в границах  СПК (колхоза) имени Калинина, секция 2 контур 34, расположенного в границах участка</w:t>
      </w:r>
      <w:r>
        <w:rPr>
          <w:bCs/>
          <w:color w:val="000000"/>
        </w:rPr>
        <w:t xml:space="preserve">,</w:t>
      </w:r>
      <w:r>
        <w:rPr>
          <w:color w:val="000000"/>
        </w:rPr>
        <w:t xml:space="preserve">  о проведении общего собрания участников общей долевой собственности со следующей повесткой дня:</w:t>
      </w:r>
      <w:r/>
      <w:r/>
    </w:p>
    <w:p>
      <w:pPr>
        <w:pStyle w:val="660"/>
        <w:pBdr/>
        <w:spacing w:line="288" w:lineRule="auto"/>
        <w:ind/>
        <w:jc w:val="both"/>
        <w:rPr/>
      </w:pPr>
      <w:r/>
      <w:r/>
      <w:r/>
    </w:p>
    <w:p>
      <w:pPr>
        <w:pStyle w:val="660"/>
        <w:pBdr/>
        <w:spacing w:line="288" w:lineRule="auto"/>
        <w:ind w:firstLine="284"/>
        <w:jc w:val="both"/>
        <w:rPr/>
      </w:pPr>
      <w:r>
        <w:t xml:space="preserve">1. </w:t>
      </w:r>
      <w:r>
        <w:rPr>
          <w:spacing w:val="-4"/>
        </w:rPr>
        <w:t xml:space="preserve">О</w:t>
      </w:r>
      <w:r>
        <w:t xml:space="preserve">б условиях договора аренды земельного участка, находящегося в общей долевой собственности.</w:t>
      </w:r>
      <w:r/>
      <w:r/>
    </w:p>
    <w:p>
      <w:pPr>
        <w:pStyle w:val="660"/>
        <w:pBdr/>
        <w:spacing w:line="288" w:lineRule="auto"/>
        <w:ind w:firstLine="284"/>
        <w:jc w:val="both"/>
        <w:rPr/>
      </w:pPr>
      <w:r>
        <w:t xml:space="preserve">2. </w:t>
      </w:r>
      <w:r>
        <w:rPr>
          <w:spacing w:val="-4"/>
        </w:rPr>
        <w:t xml:space="preserve">О</w:t>
      </w:r>
      <w: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 собс</w:t>
      </w:r>
      <w:r>
        <w:rPr>
          <w:color w:val="000000"/>
        </w:rPr>
        <w:t xml:space="preserve">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</w:t>
      </w:r>
      <w:r>
        <w:rPr>
          <w:color w:val="000000"/>
        </w:rPr>
        <w:t xml:space="preserve">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23:36:0802000:864</w:t>
      </w:r>
      <w: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</w:rPr>
        <w:t xml:space="preserve">,</w:t>
      </w:r>
      <w:r>
        <w:t xml:space="preserve"> которое состоится 13 марта </w:t>
      </w:r>
      <w:r>
        <w:rPr>
          <w:color w:val="000000"/>
        </w:rPr>
        <w:t xml:space="preserve">2025 года в 10 ч. 00 мин.</w:t>
      </w:r>
      <w:r>
        <w:t xml:space="preserve"> по адресу: Краснодарский край, Щербиновский район, ст. Новощербиновская,</w:t>
      </w:r>
      <w:r>
        <w:rPr>
          <w:color w:val="ff0000"/>
        </w:rPr>
        <w:t xml:space="preserve">  </w:t>
      </w:r>
      <w:r>
        <w:rPr>
          <w:color w:val="000000"/>
        </w:rPr>
        <w:t xml:space="preserve">ул.  Калинина, д.81 (Здание Дома Культуры).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Начало регистрации участников собрания 13.03.2025 г.</w:t>
      </w:r>
      <w:r>
        <w:rPr>
          <w:color w:val="ff0000"/>
        </w:rPr>
        <w:t xml:space="preserve"> </w:t>
      </w:r>
      <w:r>
        <w:t xml:space="preserve">в 09 ч. 30 мин. по адресу места проведения собрания. Окончание </w:t>
      </w:r>
      <w:r>
        <w:t xml:space="preserve">регистрации участников собрания в 09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По всем вопросам подготовки и проведения </w:t>
      </w:r>
      <w:r>
        <w:t xml:space="preserve">общего собрания участников общей долевой собственности, а также с документами по данному собранию можно ознакомиться в срок до 12 марта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</w:rPr>
        <w:t xml:space="preserve">. Советов, 5</w:t>
      </w:r>
      <w:r>
        <w:t xml:space="preserve">, тел 89086776740, </w:t>
      </w:r>
      <w:r>
        <w:rPr>
          <w:iCs/>
        </w:rPr>
        <w:t xml:space="preserve">89884622966</w:t>
      </w:r>
      <w:r>
        <w:t xml:space="preserve">.</w:t>
      </w:r>
      <w:r/>
      <w:r/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4" w:customStyle="1">
    <w:name w:val="Без интервала"/>
    <w:next w:val="694"/>
    <w:link w:val="663"/>
    <w:uiPriority w:val="1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2025-01-13T14:32:17Z</dcterms:modified>
</cp:coreProperties>
</file>